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bookmarkStart w:id="0" w:name="_GoBack"/>
      <w:bookmarkEnd w:id="0"/>
    </w:p>
    <w:tbl>
      <w:tblPr>
        <w:tblStyle w:val="a3"/>
        <w:tblW w:w="15736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9640"/>
        <w:gridCol w:w="6096"/>
      </w:tblGrid>
      <w:tr>
        <w:tc>
          <w:tcPr>
            <w:tcW w:w="9640" w:type="dxa"/>
          </w:tcPr>
          <w:p>
            <w:r>
              <w:rPr>
                <w:noProof/>
                <w:lang w:eastAsia="ru-RU"/>
              </w:rPr>
              <w:drawing>
                <wp:inline distT="0" distB="0" distL="0" distR="0">
                  <wp:extent cx="5311140" cy="2987517"/>
                  <wp:effectExtent l="0" t="0" r="3810" b="381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7737" cy="29912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96" w:type="dxa"/>
          </w:tcPr>
          <w:p>
            <w:pPr>
              <w:rPr>
                <w:sz w:val="24"/>
                <w:szCs w:val="24"/>
                <w:lang w:val="en-US"/>
              </w:rPr>
            </w:pPr>
          </w:p>
        </w:tc>
      </w:tr>
      <w:tr>
        <w:tc>
          <w:tcPr>
            <w:tcW w:w="9640" w:type="dxa"/>
          </w:tcPr>
          <w:p>
            <w:r>
              <w:rPr>
                <w:noProof/>
                <w:lang w:eastAsia="ru-RU"/>
              </w:rPr>
              <w:drawing>
                <wp:inline distT="0" distB="0" distL="0" distR="0">
                  <wp:extent cx="6096851" cy="3429479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851" cy="3429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96" w:type="dxa"/>
          </w:tcPr>
          <w:p>
            <w:pPr>
              <w:ind w:firstLine="219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u w:val="single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u w:val="single"/>
              </w:rPr>
              <w:t>Бюджетная обеспеченность</w:t>
            </w:r>
          </w:p>
          <w:p>
            <w:pPr>
              <w:ind w:firstLine="21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Формирование бюджета городского округа Анадырь, единственного из всех муниципальных образований Чукотского автономного округа продолжается в трехлетнем формате.</w:t>
            </w:r>
          </w:p>
          <w:p>
            <w:pPr>
              <w:ind w:firstLine="21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Бюджет городского округа Анадырь на 2023 год был принят 22 декабря 2022 года. Первоначальный бюджет городского округа Анадырь содержал следующие параметры:</w:t>
            </w:r>
          </w:p>
          <w:p>
            <w:pPr>
              <w:ind w:firstLine="21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- общий объём доходов 2 579 842,6 тыс. рублей;</w:t>
            </w:r>
          </w:p>
          <w:p>
            <w:pPr>
              <w:ind w:firstLine="21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- общий объём расходов 2 556 912,6 тыс. рублей;</w:t>
            </w:r>
          </w:p>
          <w:p>
            <w:pPr>
              <w:ind w:firstLine="21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- профицит 22 930,0 тыс. рублей (для погашения долговых обязательств в форме межбюджетных кредитов).</w:t>
            </w:r>
          </w:p>
          <w:p>
            <w:pPr>
              <w:ind w:firstLine="21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В течение 2023 года изменения в бюджет города Анадырь решениями Совета депутатов городского округа Анадырь вносились 6 раз.</w:t>
            </w:r>
          </w:p>
          <w:p>
            <w:pPr>
              <w:ind w:firstLine="21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Последние изменения в бюджет городского округа Анадырь на 2023 год были внесены 21 декабря 2023 года.</w:t>
            </w:r>
          </w:p>
          <w:p>
            <w:pPr>
              <w:ind w:firstLine="21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В конце 2023 года утвержденные параметры бюджета городского округа Анадырь составили:</w:t>
            </w:r>
          </w:p>
          <w:p>
            <w:pPr>
              <w:ind w:firstLine="21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- общий объем доходов 2 629 341,4 тыс. рублей;</w:t>
            </w:r>
          </w:p>
          <w:p>
            <w:pPr>
              <w:ind w:firstLine="21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- общий объем расходов 2 919 153,6 тыс. рублей;</w:t>
            </w:r>
          </w:p>
          <w:p>
            <w:pPr>
              <w:ind w:firstLine="21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- дефицит бюджета 289 812,2 тыс. рублей.</w:t>
            </w:r>
          </w:p>
          <w:p>
            <w:pPr>
              <w:ind w:firstLine="21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Бюджет города Анадырь за 2023 год исполнен:</w:t>
            </w:r>
          </w:p>
          <w:p>
            <w:pPr>
              <w:ind w:firstLine="21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- по доходам в сумме 2 664 374,7 тыс. рублей;</w:t>
            </w:r>
          </w:p>
          <w:p>
            <w:pPr>
              <w:ind w:firstLine="21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- по расходах в сумме 2 837 002,3 тыс. рублей;</w:t>
            </w:r>
          </w:p>
          <w:p>
            <w:pPr>
              <w:ind w:firstLine="21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- дефицит 172 627,6 тыс. рублей;</w:t>
            </w:r>
          </w:p>
          <w:p>
            <w:pPr>
              <w:ind w:firstLine="21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- муниципальные долговые обязательства на 01.01.2024 – 107 750,0 тыс. рублей;</w:t>
            </w:r>
          </w:p>
          <w:p>
            <w:pPr>
              <w:ind w:firstLine="70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Доходная и расходная части бюджета городского округа Анадырь на протяжении трех лет имеет стабильную тенденцию к росту.</w:t>
            </w:r>
          </w:p>
          <w:p>
            <w:pPr>
              <w:suppressAutoHyphens/>
              <w:spacing w:line="276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  <w:t>Бюджет городского округа Анадырь на 2024 год и плановый период 2025 и 2026 годов принят на сессии Совета депутатов городского округа Анадырь 14 декабря 2023 года.</w:t>
            </w:r>
          </w:p>
          <w:p>
            <w:pPr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  <w:t xml:space="preserve"> Долговые обязательства полностью состоят из бюджетных кредитов, предоставленных из окружного бюджета. Погашение долговых обязательств осуществляется в сроки, установленные кредитным договором. В 2023 году был досрочно погашен бюджетный кредит в объеме 22930,0 тыс. рублей.  Просрочка обязательств не допускается.</w:t>
            </w:r>
          </w:p>
          <w:p>
            <w:pPr>
              <w:ind w:firstLine="70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Кассовое исполнение бюджета городского округа Анадырь осуществляется Управлением финансов, экономики и имущественных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отношений Администрации городского округа Анадырь. Всем муниципальным учреждениям открыты лицевые счета работа на базе финансового органа городского округа Анадырь.</w:t>
            </w:r>
          </w:p>
          <w:p>
            <w:pPr>
              <w:ind w:firstLine="70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Казначейское сопровождение муниципальных контрактов осуществляется УФК по ЧАО.</w:t>
            </w:r>
          </w:p>
          <w:p>
            <w:pPr>
              <w:ind w:firstLine="219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>
        <w:tc>
          <w:tcPr>
            <w:tcW w:w="9640" w:type="dxa"/>
          </w:tcPr>
          <w:p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5378025" cy="3025140"/>
                  <wp:effectExtent l="0" t="0" r="0" b="381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2740" cy="30390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96" w:type="dxa"/>
          </w:tcPr>
          <w:p>
            <w:pPr>
              <w:suppressAutoHyphens/>
              <w:ind w:firstLine="276"/>
              <w:jc w:val="both"/>
              <w:rPr>
                <w:rFonts w:ascii="Times New Roman" w:eastAsia="Times New Roman" w:hAnsi="Times New Roman" w:cs="Times New Roman"/>
                <w:b/>
                <w:bCs/>
                <w:kern w:val="1"/>
                <w:sz w:val="28"/>
                <w:szCs w:val="28"/>
                <w:u w:val="single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kern w:val="1"/>
                <w:sz w:val="28"/>
                <w:szCs w:val="28"/>
                <w:u w:val="single"/>
                <w:lang w:eastAsia="ar-SA"/>
              </w:rPr>
              <w:t>Управление муниципальным имуществом, земельными участками</w:t>
            </w:r>
          </w:p>
          <w:p>
            <w:pPr>
              <w:suppressAutoHyphens/>
              <w:ind w:firstLine="276"/>
              <w:jc w:val="both"/>
              <w:rPr>
                <w:rFonts w:ascii="Times New Roman" w:eastAsia="Times New Roman" w:hAnsi="Times New Roman" w:cs="Times New Roman"/>
                <w:bCs/>
                <w:kern w:val="1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Cs/>
                <w:kern w:val="1"/>
                <w:sz w:val="28"/>
                <w:szCs w:val="28"/>
                <w:lang w:eastAsia="ar-SA"/>
              </w:rPr>
              <w:t>Управление и распоряжение земельными участками на территории городского округа Анадырь осуществлялось посредством сдачи в аренду, предоставления в постоянное (бессрочное) пользования, продажи земельных участков, предоставлением в безвозмездное пользование.</w:t>
            </w:r>
          </w:p>
          <w:p>
            <w:pPr>
              <w:suppressAutoHyphens/>
              <w:ind w:firstLine="276"/>
              <w:jc w:val="both"/>
              <w:rPr>
                <w:rFonts w:ascii="Times New Roman" w:eastAsia="Times New Roman" w:hAnsi="Times New Roman" w:cs="Times New Roman"/>
                <w:bCs/>
                <w:kern w:val="1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Cs/>
                <w:kern w:val="1"/>
                <w:sz w:val="28"/>
                <w:szCs w:val="28"/>
                <w:lang w:eastAsia="ar-SA"/>
              </w:rPr>
              <w:t xml:space="preserve">В 2023 году было заключено 56 договоров аренды земельных участков, из них по итогам аукционов заключено 10 договоров. </w:t>
            </w:r>
          </w:p>
          <w:p>
            <w:pPr>
              <w:ind w:firstLine="709"/>
              <w:jc w:val="both"/>
              <w:rPr>
                <w:rFonts w:ascii="Times New Roman" w:eastAsia="Times New Roman" w:hAnsi="Times New Roman" w:cs="Times New Roman"/>
                <w:bCs/>
                <w:kern w:val="1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Cs/>
                <w:kern w:val="1"/>
                <w:sz w:val="28"/>
                <w:szCs w:val="28"/>
                <w:lang w:eastAsia="ar-SA"/>
              </w:rPr>
              <w:t xml:space="preserve">В 2023 году были предоставлены в аренду два земельных участка под строительство многоквартирных домов, по адресам: ул. Ленина д.28, ул. Ленина </w:t>
            </w:r>
            <w:proofErr w:type="gramStart"/>
            <w:r>
              <w:rPr>
                <w:rFonts w:ascii="Times New Roman" w:eastAsia="Times New Roman" w:hAnsi="Times New Roman" w:cs="Times New Roman"/>
                <w:bCs/>
                <w:kern w:val="1"/>
                <w:sz w:val="28"/>
                <w:szCs w:val="28"/>
                <w:lang w:eastAsia="ar-SA"/>
              </w:rPr>
              <w:t>д.30 .</w:t>
            </w:r>
            <w:proofErr w:type="gramEnd"/>
          </w:p>
          <w:p>
            <w:pPr>
              <w:ind w:firstLine="70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Заключено 8 договоров безвозмездного пользования земельными участками под строительство объектов местного и регионального значения.</w:t>
            </w:r>
          </w:p>
          <w:p>
            <w:pPr>
              <w:ind w:firstLine="70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Доходы бюджета городского округа Анадырь от аренды земельных участков в 2023 году составили 34 321,9 тыс. руб. </w:t>
            </w:r>
          </w:p>
          <w:p>
            <w:pPr>
              <w:ind w:firstLine="709"/>
              <w:jc w:val="both"/>
              <w:rPr>
                <w:rFonts w:ascii="Times New Roman" w:eastAsia="Times New Roman" w:hAnsi="Times New Roman" w:cs="Times New Roman"/>
                <w:bCs/>
                <w:kern w:val="1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Cs/>
                <w:kern w:val="1"/>
                <w:sz w:val="28"/>
                <w:szCs w:val="28"/>
                <w:lang w:eastAsia="ar-SA"/>
              </w:rPr>
              <w:t xml:space="preserve">В 2023 году Управлением заключено 30 договоров передачи земельных участков в собственность, по которым поступило в доход </w:t>
            </w:r>
            <w:r>
              <w:rPr>
                <w:rFonts w:ascii="Times New Roman" w:eastAsia="Times New Roman" w:hAnsi="Times New Roman" w:cs="Times New Roman"/>
                <w:bCs/>
                <w:kern w:val="1"/>
                <w:sz w:val="28"/>
                <w:szCs w:val="28"/>
                <w:lang w:eastAsia="ar-SA"/>
              </w:rPr>
              <w:lastRenderedPageBreak/>
              <w:t>бюджета городского округа Анадырь в качестве выкупной цены 3075,8 тыс. руб.</w:t>
            </w:r>
          </w:p>
          <w:p>
            <w:pPr>
              <w:ind w:firstLine="70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Трем многодетным семьям в 2023 году были предоставлены земельные участки в соответствии с </w:t>
            </w:r>
            <w:r>
              <w:rPr>
                <w:rFonts w:ascii="Times New Roman" w:eastAsia="Times New Roman" w:hAnsi="Times New Roman" w:cs="Times New Roman"/>
                <w:bCs/>
                <w:kern w:val="1"/>
                <w:sz w:val="28"/>
                <w:szCs w:val="28"/>
                <w:lang w:eastAsia="ar-SA"/>
              </w:rPr>
              <w:t>Законом Чукотского автономного округа от 10.10.2011 N 99-ОЗ "О бесплатном предоставлении в собственность гражданам, имеющим трех и более детей, земельных участков на территории Чукотского автономного округа</w:t>
            </w:r>
          </w:p>
          <w:p>
            <w:pPr>
              <w:ind w:firstLine="70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Доходы бюджета городского округа Анадырь от аренды недвижимого имущества (за исключением земельных участков) в 2023 году составили 63 580,8 тыс. руб. </w:t>
            </w:r>
          </w:p>
          <w:p>
            <w:pPr>
              <w:ind w:firstLine="70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В 2023 году впервые были проведены торги на право размещения объектов нестационарной торговли, объем доходов бюджета по данному направлению составил 40,1 тыс. рублей. </w:t>
            </w:r>
          </w:p>
          <w:p>
            <w:pPr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kern w:val="1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  <w:t xml:space="preserve">Программа приватизации муниципального имущества на 2023 год реализовывалась в соответствии </w:t>
            </w:r>
            <w:r>
              <w:rPr>
                <w:rFonts w:ascii="Times New Roman" w:eastAsia="Times New Roman" w:hAnsi="Times New Roman" w:cs="Times New Roman"/>
                <w:color w:val="000000"/>
                <w:kern w:val="1"/>
                <w:sz w:val="28"/>
                <w:szCs w:val="28"/>
                <w:lang w:eastAsia="ar-SA"/>
              </w:rPr>
              <w:t xml:space="preserve">утвержденным Решением Совета депутатов городского округа Анадырь </w:t>
            </w:r>
            <w:r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  <w:t>от 22 декабря 2022 года № 325 «Об утверждении прогнозного Плана (программы) приватизации муниципального имущества городского округа Анадырь на 2023, 2024, 2025 годы»</w:t>
            </w:r>
            <w:r>
              <w:rPr>
                <w:rFonts w:ascii="Times New Roman" w:eastAsia="Times New Roman" w:hAnsi="Times New Roman" w:cs="Times New Roman"/>
                <w:kern w:val="1"/>
                <w:sz w:val="24"/>
                <w:szCs w:val="24"/>
                <w:lang w:eastAsia="ar-SA"/>
              </w:rPr>
              <w:t xml:space="preserve">. </w:t>
            </w:r>
          </w:p>
          <w:p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Доходы от приватизации муниципального имущества в 2023 году составили 10 344,6 тыс. рублей. В ходе приватизации был реализован по итогам торгов </w:t>
            </w:r>
            <w:r>
              <w:rPr>
                <w:rFonts w:ascii="Times New Roman" w:eastAsia="Times New Roman" w:hAnsi="Times New Roman" w:cs="Times New Roman"/>
                <w:color w:val="000000"/>
                <w:kern w:val="1"/>
                <w:sz w:val="28"/>
                <w:szCs w:val="28"/>
                <w:lang w:eastAsia="ar-SA"/>
              </w:rPr>
              <w:t>объект незавершенного строительства (гараж), два движимых объекта, относящиеся к неиспользуемым и демонтированным малым архитектурным формам, а также реализовано право одного субъекта МСП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преимущественный выкуп 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арендуемого помещения в соответствии с Федеральным законом от 22 июля 2008 года № 159-ФЗ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Об особенностях отчуждения движимого и недвижимого имущества, находящегося в государственной или в муниципальной собственности и арендуемого субъектами малого и среднего предпринимательства, и о внесении изменений в отдельные законодательные акты Российской Федерации».</w:t>
            </w:r>
          </w:p>
          <w:p>
            <w:pPr>
              <w:ind w:firstLine="709"/>
              <w:jc w:val="both"/>
              <w:rPr>
                <w:rFonts w:ascii="Times New Roman" w:eastAsia="Times New Roman" w:hAnsi="Times New Roman" w:cs="Times New Roman"/>
                <w:bCs/>
                <w:kern w:val="1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В целях дальнейшего развития городского округа Анадырь в 2023 году были внесены изменения в Генеральный план городского округа Анадырь и Правила землепользования и застройки. Была сформирована новая территориальная зона для жилищного строительства, расширены границы территориальной зоны объектов инженерной инфраструктуры, для последующего размещения </w:t>
            </w:r>
            <w:proofErr w:type="spellStart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снегосвалок</w:t>
            </w:r>
            <w:proofErr w:type="spellEnd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, вносились изменения в градостроительные регламенты в целях уточнения видов разрешенного использования земельных участков.</w:t>
            </w:r>
          </w:p>
          <w:p>
            <w:pPr>
              <w:ind w:firstLine="276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>
        <w:tc>
          <w:tcPr>
            <w:tcW w:w="9640" w:type="dxa"/>
          </w:tcPr>
          <w:p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6096851" cy="3429479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851" cy="3429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96" w:type="dxa"/>
          </w:tcPr>
          <w:p>
            <w:pPr>
              <w:ind w:firstLine="276"/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Поддержка и развитие предпринимательства</w:t>
            </w:r>
          </w:p>
          <w:p>
            <w:pPr>
              <w:ind w:firstLine="276"/>
              <w:jc w:val="both"/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  <w:t xml:space="preserve">В 2023 году была оказана </w:t>
            </w:r>
            <w:r>
              <w:rPr>
                <w:rFonts w:ascii="Times New Roman" w:eastAsia="+mn-ea" w:hAnsi="Times New Roman" w:cs="Times New Roman"/>
                <w:bCs/>
                <w:sz w:val="28"/>
                <w:szCs w:val="28"/>
              </w:rPr>
              <w:t xml:space="preserve">поддержка субъектам предпринимательской деятельности на общую сумму 7 447, 5 тыс. рублей. Эта работа велась </w:t>
            </w:r>
            <w:r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  <w:t>по нескольким направлениям.</w:t>
            </w:r>
          </w:p>
          <w:p>
            <w:pPr>
              <w:widowControl w:val="0"/>
              <w:suppressAutoHyphens/>
              <w:ind w:firstLine="276"/>
              <w:jc w:val="center"/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u w:val="single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u w:val="single"/>
                <w:lang w:eastAsia="ar-SA"/>
              </w:rPr>
              <w:t>Имущественная поддержка</w:t>
            </w:r>
          </w:p>
          <w:p>
            <w:pPr>
              <w:widowControl w:val="0"/>
              <w:suppressAutoHyphens/>
              <w:ind w:firstLine="276"/>
              <w:jc w:val="both"/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  <w:t>В 2023 году на территории городского округа Анадырь были установлены 5 новых торговых павильона, выполненных в едином стиле. Павильоны приобретались за счет средств бюджета городского округа Анадырь.</w:t>
            </w:r>
          </w:p>
          <w:p>
            <w:pPr>
              <w:suppressAutoHyphens/>
              <w:spacing w:line="100" w:lineRule="atLeast"/>
              <w:ind w:firstLine="709"/>
              <w:jc w:val="both"/>
              <w:rPr>
                <w:rFonts w:ascii="Times New Roman" w:eastAsia="Calibri" w:hAnsi="Times New Roman" w:cs="Times New Roman"/>
                <w:kern w:val="1"/>
                <w:sz w:val="28"/>
                <w:szCs w:val="28"/>
                <w:lang w:eastAsia="ar-SA"/>
              </w:rPr>
            </w:pPr>
            <w:r>
              <w:rPr>
                <w:rFonts w:ascii="Times New Roman" w:eastAsia="Calibri" w:hAnsi="Times New Roman" w:cs="Times New Roman"/>
                <w:kern w:val="1"/>
                <w:sz w:val="28"/>
                <w:szCs w:val="28"/>
                <w:lang w:eastAsia="ar-SA"/>
              </w:rPr>
              <w:t>Павильоны являются нестационарными торговыми объектами, предназначены для торговли продовольственными товарами, для услуг общественного питания. В 2023 году все торговые павильоны были предоставлены в аренду субъектам МСП по итогам проведения торгов.</w:t>
            </w:r>
          </w:p>
          <w:p>
            <w:pPr>
              <w:suppressAutoHyphens/>
              <w:spacing w:line="100" w:lineRule="atLeast"/>
              <w:ind w:firstLine="70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kern w:val="1"/>
                <w:sz w:val="28"/>
                <w:szCs w:val="28"/>
                <w:lang w:eastAsia="ar-SA"/>
              </w:rPr>
              <w:t>В 2023 году впервые были проведены торги на право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размещения объектов нестационарной торговли. Доходы бюджета городского округа Анадырь по данному направлению составили 40,1 тыс. рублей. Практика признана успешной и продолжила свою реализацию в 2024 году.</w:t>
            </w:r>
          </w:p>
          <w:p>
            <w:pPr>
              <w:suppressAutoHyphens/>
              <w:autoSpaceDE w:val="0"/>
              <w:autoSpaceDN w:val="0"/>
              <w:adjustRightInd w:val="0"/>
              <w:spacing w:line="100" w:lineRule="atLeast"/>
              <w:ind w:firstLine="709"/>
              <w:jc w:val="both"/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  <w:t xml:space="preserve">В целях поддержки арендаторов муниципального имущества – субъектов МСП- участников специальной военной операции, Решением Совета депутатов городского округа Анадырь № 333 от 07 февраля 2023 г. было установлено освобождение от уплаты арендной платы по договорам аренды муниципального имущества городского округа Анадырь, аренды земельных участков, находящихся в собственности городского округа Анадырь, и </w:t>
            </w:r>
            <w:r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  <w:lastRenderedPageBreak/>
              <w:t>земельных участков, государственная собственность на которые не разграничена, в связи с частичной мобилизацией. Поддержка в 2023 году была предоставлена одному индивидуальному предпринимателю.</w:t>
            </w:r>
          </w:p>
          <w:p>
            <w:pPr>
              <w:suppressAutoHyphens/>
              <w:spacing w:line="100" w:lineRule="atLeast"/>
              <w:ind w:firstLine="709"/>
              <w:jc w:val="center"/>
              <w:rPr>
                <w:rFonts w:ascii="Times New Roman" w:eastAsia="Calibri" w:hAnsi="Times New Roman" w:cs="Times New Roman"/>
                <w:sz w:val="28"/>
                <w:szCs w:val="28"/>
                <w:u w:val="single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u w:val="single"/>
              </w:rPr>
              <w:t>Финансовая поддержка</w:t>
            </w:r>
          </w:p>
          <w:p>
            <w:pPr>
              <w:suppressAutoHyphens/>
              <w:spacing w:line="100" w:lineRule="atLeast"/>
              <w:ind w:firstLine="70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Финансовая поддержка реализовывалась путем предоставления субсидий субъектам предпринимательства:</w:t>
            </w:r>
          </w:p>
          <w:p>
            <w:pPr>
              <w:suppressAutoHyphens/>
              <w:spacing w:line="100" w:lineRule="atLeast"/>
              <w:ind w:firstLine="709"/>
              <w:jc w:val="both"/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1. </w:t>
            </w:r>
            <w:r>
              <w:rPr>
                <w:rFonts w:ascii="Times New Roman" w:eastAsia="Calibri" w:hAnsi="Times New Roman" w:cs="Times New Roman"/>
                <w:kern w:val="1"/>
                <w:sz w:val="28"/>
                <w:szCs w:val="28"/>
                <w:lang w:eastAsia="ar-SA"/>
              </w:rPr>
              <w:t>В 2023 году объем субсидий на</w:t>
            </w:r>
            <w:r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  <w:t xml:space="preserve"> уплату процентов по кредитным договорам, привлеченным на осуществление «северного завоза» потребительских товаров составил 5 597.5 тыс. рублей, компенсацию получили    8 субъектов предпринимательской деятельности. В 2022 году было 3 получателя такой поддержки.</w:t>
            </w:r>
          </w:p>
          <w:p>
            <w:pPr>
              <w:suppressAutoHyphens/>
              <w:spacing w:line="100" w:lineRule="atLeast"/>
              <w:ind w:firstLine="709"/>
              <w:jc w:val="both"/>
              <w:rPr>
                <w:rFonts w:ascii="Times New Roman" w:eastAsia="Calibri" w:hAnsi="Times New Roman" w:cs="Times New Roman"/>
                <w:kern w:val="1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  <w:t>2. По итогам конкурсного отбора был предоставлен грант в форме субсидии на сумму 500,0 тыс. рублей из бюджета городского округа Анадырь на реализацию ИП Крючков Е.К. бизнес-проекта «</w:t>
            </w:r>
            <w:r>
              <w:rPr>
                <w:rFonts w:ascii="Times New Roman" w:eastAsia="Times New Roman" w:hAnsi="Times New Roman" w:cs="Times New Roman"/>
                <w:color w:val="2C363A"/>
                <w:kern w:val="1"/>
                <w:sz w:val="28"/>
                <w:szCs w:val="28"/>
                <w:shd w:val="clear" w:color="auto" w:fill="FFFFFF"/>
                <w:lang w:eastAsia="ar-SA"/>
              </w:rPr>
              <w:t xml:space="preserve">Оказание бытовых услуг населению-утепление </w:t>
            </w:r>
            <w:proofErr w:type="spellStart"/>
            <w:r>
              <w:rPr>
                <w:rFonts w:ascii="Times New Roman" w:eastAsia="Times New Roman" w:hAnsi="Times New Roman" w:cs="Times New Roman"/>
                <w:color w:val="2C363A"/>
                <w:kern w:val="1"/>
                <w:sz w:val="28"/>
                <w:szCs w:val="28"/>
                <w:shd w:val="clear" w:color="auto" w:fill="FFFFFF"/>
                <w:lang w:eastAsia="ar-SA"/>
              </w:rPr>
              <w:t>пенополиуретаном</w:t>
            </w:r>
            <w:proofErr w:type="spellEnd"/>
            <w:r>
              <w:rPr>
                <w:rFonts w:ascii="Times New Roman" w:eastAsia="Times New Roman" w:hAnsi="Times New Roman" w:cs="Times New Roman"/>
                <w:color w:val="2C363A"/>
                <w:kern w:val="1"/>
                <w:sz w:val="28"/>
                <w:szCs w:val="28"/>
                <w:shd w:val="clear" w:color="auto" w:fill="FFFFFF"/>
                <w:lang w:eastAsia="ar-SA"/>
              </w:rPr>
              <w:t>»</w:t>
            </w:r>
            <w:r>
              <w:rPr>
                <w:rFonts w:ascii="Times New Roman" w:eastAsia="Times New Roman" w:hAnsi="Times New Roman" w:cs="Times New Roman"/>
                <w:color w:val="2C363A"/>
                <w:kern w:val="1"/>
                <w:sz w:val="24"/>
                <w:szCs w:val="24"/>
                <w:shd w:val="clear" w:color="auto" w:fill="FFFFFF"/>
                <w:lang w:eastAsia="ar-SA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2C363A"/>
                <w:kern w:val="1"/>
                <w:sz w:val="28"/>
                <w:szCs w:val="28"/>
                <w:shd w:val="clear" w:color="auto" w:fill="FFFFFF"/>
                <w:lang w:eastAsia="ar-SA"/>
              </w:rPr>
              <w:t>Проект реализован, услуги оказываются.</w:t>
            </w:r>
          </w:p>
        </w:tc>
      </w:tr>
      <w:tr>
        <w:tc>
          <w:tcPr>
            <w:tcW w:w="9640" w:type="dxa"/>
          </w:tcPr>
          <w:p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6096851" cy="3429479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851" cy="3429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96" w:type="dxa"/>
          </w:tcPr>
          <w:p>
            <w:pPr>
              <w:suppressAutoHyphens/>
              <w:spacing w:line="100" w:lineRule="atLeast"/>
              <w:ind w:firstLine="709"/>
              <w:jc w:val="both"/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  <w:t>В 2023 году была предоставлена субсидия на финансовое обеспечение затрат, связанных с поверкой средств технического диагностирования транспортных средств в пунктах технического осмотра на территории городского округа Анадырь. Объем предоставленной субсидии за счет бюджета городского округа Анадырь составил 1350,0 тыс. рублей. Пункт технического осмотра на территории города возобновил свою работу.</w:t>
            </w:r>
          </w:p>
          <w:p>
            <w:pPr>
              <w:suppressAutoHyphens/>
              <w:ind w:firstLine="27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частности, было проведено техническое обследование 543 единиц автомобильного транспорта (в том числе автобусы до 5 тонн – 2 технических обследования; автобусы свыше 5 тонн – 23 технических обследования)</w:t>
            </w:r>
          </w:p>
        </w:tc>
      </w:tr>
      <w:tr>
        <w:tc>
          <w:tcPr>
            <w:tcW w:w="9640" w:type="dxa"/>
          </w:tcPr>
          <w:p>
            <w:pPr>
              <w:rPr>
                <w:rFonts w:ascii="Times New Roman" w:hAnsi="Times New Roman" w:cs="Times New Roman"/>
                <w:noProof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>
                  <wp:extent cx="6096851" cy="3429479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851" cy="3429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96" w:type="dxa"/>
          </w:tcPr>
          <w:p>
            <w:pPr>
              <w:widowControl w:val="0"/>
              <w:autoSpaceDE w:val="0"/>
              <w:autoSpaceDN w:val="0"/>
              <w:adjustRightInd w:val="0"/>
              <w:ind w:firstLine="27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целях 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комплексного обустройства территории городском округе Анадырь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2023 году муниципалитет участвовал в реализации 2 национальных проектов в сфере дорожного хозяйства и жилищно-коммунального комплекса, а именно:</w:t>
            </w:r>
          </w:p>
          <w:p>
            <w:pPr>
              <w:ind w:firstLine="27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федерального проекта «Дорожная сеть» национального проекта «Безопасные качественные дороги»;</w:t>
            </w:r>
          </w:p>
          <w:p>
            <w:pPr>
              <w:ind w:firstLine="27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национального проекта «Формирование комфортной городской среды» национального проекта «Жилье и городская среда».</w:t>
            </w:r>
          </w:p>
          <w:p>
            <w:pPr>
              <w:widowControl w:val="0"/>
              <w:autoSpaceDE w:val="0"/>
              <w:autoSpaceDN w:val="0"/>
              <w:adjustRightInd w:val="0"/>
              <w:ind w:firstLine="27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>
        <w:tc>
          <w:tcPr>
            <w:tcW w:w="9640" w:type="dxa"/>
          </w:tcPr>
          <w:p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5803900" cy="3264535"/>
                  <wp:effectExtent l="0" t="0" r="635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3900" cy="3264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96" w:type="dxa"/>
          </w:tcPr>
          <w:p>
            <w:pPr>
              <w:widowControl w:val="0"/>
              <w:autoSpaceDE w:val="0"/>
              <w:autoSpaceDN w:val="0"/>
              <w:adjustRightInd w:val="0"/>
              <w:ind w:firstLine="27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Городской округ Анадырь продолжает принимать участие в реализации национального проекта «Безопасные качественные дороги», что позволит к 2025 году увеличить сеть соответствующих нормативным требованиям дорог до 26,6 км, т.е. до 86% от общей протяженности автомобильных дорог муниципалитета.</w:t>
            </w:r>
          </w:p>
          <w:p>
            <w:pPr>
              <w:ind w:firstLine="27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 2023 год было отремонтировано и приведено в соответствие с требованиями нормативов 0,841 км.</w:t>
            </w:r>
          </w:p>
          <w:p>
            <w:pPr>
              <w:ind w:firstLine="27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Администрацией были заключены муниципальные контракты на ремонт семи участков автомобильных дорог на общую сумму   54,5 млн. рублей, в том числе:</w:t>
            </w:r>
          </w:p>
          <w:p>
            <w:pPr>
              <w:ind w:firstLine="27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53,1 млн. рублей средства федерального бюджета;</w:t>
            </w:r>
          </w:p>
          <w:p>
            <w:pPr>
              <w:ind w:firstLine="27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1,1 млн. рублей - средства окружного бюджета;</w:t>
            </w:r>
          </w:p>
          <w:p>
            <w:pPr>
              <w:ind w:firstLine="27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0,3 млн. рублей - средства местного бюджета.</w:t>
            </w:r>
          </w:p>
          <w:p>
            <w:pPr>
              <w:suppressAutoHyphens/>
              <w:spacing w:line="100" w:lineRule="atLeast"/>
              <w:ind w:firstLine="708"/>
              <w:jc w:val="both"/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  <w:t>Были отремонтированы следующие участки дорог:</w:t>
            </w:r>
          </w:p>
          <w:p>
            <w:pPr>
              <w:widowControl w:val="0"/>
              <w:numPr>
                <w:ilvl w:val="0"/>
                <w:numId w:val="5"/>
              </w:numPr>
              <w:suppressAutoHyphens/>
              <w:spacing w:after="200" w:line="100" w:lineRule="atLeast"/>
              <w:jc w:val="both"/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  <w:t>участок дороги по ул. Южная;</w:t>
            </w:r>
          </w:p>
          <w:p>
            <w:pPr>
              <w:widowControl w:val="0"/>
              <w:numPr>
                <w:ilvl w:val="0"/>
                <w:numId w:val="5"/>
              </w:numPr>
              <w:suppressAutoHyphens/>
              <w:spacing w:after="200" w:line="100" w:lineRule="atLeast"/>
              <w:jc w:val="both"/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1"/>
                <w:sz w:val="28"/>
                <w:szCs w:val="28"/>
                <w:lang w:eastAsia="ar-SA"/>
              </w:rPr>
              <w:t>участок дороги по ул. Полярная;</w:t>
            </w:r>
          </w:p>
          <w:p>
            <w:pPr>
              <w:widowControl w:val="0"/>
              <w:numPr>
                <w:ilvl w:val="0"/>
                <w:numId w:val="5"/>
              </w:numPr>
              <w:suppressAutoHyphens/>
              <w:spacing w:after="200" w:line="100" w:lineRule="atLeast"/>
              <w:jc w:val="both"/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  <w:t>участок дороги по ул. Мира;</w:t>
            </w:r>
          </w:p>
          <w:p>
            <w:pPr>
              <w:widowControl w:val="0"/>
              <w:numPr>
                <w:ilvl w:val="0"/>
                <w:numId w:val="5"/>
              </w:numPr>
              <w:suppressAutoHyphens/>
              <w:spacing w:after="200" w:line="100" w:lineRule="atLeast"/>
              <w:jc w:val="both"/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  <w:t>участок дороги по ул. Рультытегина.</w:t>
            </w:r>
          </w:p>
          <w:p>
            <w:pPr>
              <w:ind w:firstLine="278"/>
              <w:jc w:val="both"/>
              <w:rPr>
                <w:sz w:val="24"/>
                <w:szCs w:val="24"/>
              </w:rPr>
            </w:pPr>
          </w:p>
        </w:tc>
      </w:tr>
      <w:tr>
        <w:tc>
          <w:tcPr>
            <w:tcW w:w="9640" w:type="dxa"/>
          </w:tcPr>
          <w:p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5803900" cy="3264535"/>
                  <wp:effectExtent l="0" t="0" r="635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3900" cy="3264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96" w:type="dxa"/>
          </w:tcPr>
          <w:p>
            <w:pPr>
              <w:ind w:firstLine="278"/>
              <w:jc w:val="both"/>
              <w:rPr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Дополнительно, в рамках реализации мероприятия строительство автомобильных дорог подпрограммы «Содержание, развитие и ремонт инфраструктуры городского хозяйства городского округа Анадырь» муниципальной программы городского округа Анадырь «Развитие территории городского округа Анадырь на 2019 - 2025 годы», 58,5 млн. рублей из местного бюджета были направлены на строительство второго этапа автомобильной дороги от ул. Рультытегина до ул. Энергетиков через ул.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Куркутского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>
        <w:tc>
          <w:tcPr>
            <w:tcW w:w="9640" w:type="dxa"/>
          </w:tcPr>
          <w:p>
            <w:r>
              <w:rPr>
                <w:noProof/>
                <w:lang w:eastAsia="ru-RU"/>
              </w:rPr>
              <w:drawing>
                <wp:inline distT="0" distB="0" distL="0" distR="0">
                  <wp:extent cx="5803900" cy="3264535"/>
                  <wp:effectExtent l="0" t="0" r="635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3900" cy="3264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96" w:type="dxa"/>
          </w:tcPr>
          <w:p>
            <w:pPr>
              <w:suppressAutoHyphens/>
              <w:spacing w:line="100" w:lineRule="atLeast"/>
              <w:ind w:firstLine="708"/>
              <w:jc w:val="both"/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В рамках реализации федерального проекта «Формирование комфортной городской среды»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  <w:t xml:space="preserve">были выполнены работы по благоустройству трех общественных территорий, а именно территория сквера по ул. Дежнева, территория сквера напротив лицея, общественная территория по ул. Тевлянто. </w:t>
            </w:r>
          </w:p>
          <w:p>
            <w:pPr>
              <w:suppressAutoHyphens/>
              <w:spacing w:line="100" w:lineRule="atLeast"/>
              <w:ind w:firstLine="708"/>
              <w:jc w:val="both"/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  <w:t xml:space="preserve">В сквере на ул. Дежнева рядом с телецентром демонтировано старое бетонное покрытие, оборудован дренажный слой крупного </w:t>
            </w:r>
            <w:proofErr w:type="spellStart"/>
            <w:r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  <w:t>скальника</w:t>
            </w:r>
            <w:proofErr w:type="spellEnd"/>
            <w:r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  <w:t>, произведена отсыпка и утрамбовка щебнем – на данной площадке будет оборудована открытая радиостудия, по всей территории сквера установлены дизайнерские скамьи, качели, урны, арт-объект «Медведица с медвежонком», были полностью заменены опоры освещения.</w:t>
            </w:r>
          </w:p>
          <w:p>
            <w:pPr>
              <w:suppressAutoHyphens/>
              <w:spacing w:line="100" w:lineRule="atLeast"/>
              <w:ind w:firstLine="708"/>
              <w:jc w:val="both"/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  <w:t xml:space="preserve">На ул. Тевлянто установлен лестничный переход через теплотрассу за центром «Мой </w:t>
            </w:r>
            <w:r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  <w:lastRenderedPageBreak/>
              <w:t>бизнес» – старый был демонтирован после завершения работ, установлены 9 опор освещения вдоль всей пешеходной зоны. В завершение земляных и бетонных работ, здесь были установлены лавочки и урны, рядом с центром «Мой бизнес» появились две дизайнерские скамьи, вазоны и арт-объект «Медведь, сидящий на айсберге».</w:t>
            </w:r>
          </w:p>
          <w:p>
            <w:pPr>
              <w:suppressAutoHyphens/>
              <w:spacing w:line="100" w:lineRule="atLeast"/>
              <w:ind w:firstLine="708"/>
              <w:jc w:val="both"/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  <w:t>На площадке у лицея частично переложена плитка, выровнена лестница с ул. Беринга. Здесь полностью заменены опоры освещения и добавлены дополнительные, установлены новые лавочки и урны.</w:t>
            </w:r>
          </w:p>
          <w:p>
            <w:pPr>
              <w:suppressAutoHyphens/>
              <w:spacing w:line="100" w:lineRule="atLeast"/>
              <w:ind w:firstLine="708"/>
              <w:jc w:val="both"/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  <w:t xml:space="preserve">Благоустройство территории у Центра культуры и досуга в с. Тавайваам. </w:t>
            </w:r>
          </w:p>
          <w:p>
            <w:pPr>
              <w:suppressAutoHyphens/>
              <w:spacing w:line="100" w:lineRule="atLeast"/>
              <w:ind w:firstLine="708"/>
              <w:jc w:val="both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kern w:val="1"/>
                <w:sz w:val="28"/>
                <w:szCs w:val="28"/>
                <w:lang w:eastAsia="ar-SA"/>
              </w:rPr>
              <w:t>Благоустройство зоны отдыха на горе Верблюжья (2 этап), была произведена отсыпка основания под обустройство парковочной зоны.</w:t>
            </w:r>
          </w:p>
        </w:tc>
      </w:tr>
      <w:tr>
        <w:trPr>
          <w:trHeight w:val="58"/>
        </w:trPr>
        <w:tc>
          <w:tcPr>
            <w:tcW w:w="9640" w:type="dxa"/>
          </w:tcPr>
          <w:p>
            <w:pPr>
              <w:rPr>
                <w:rFonts w:ascii="Times New Roman" w:hAnsi="Times New Roman" w:cs="Times New Roman"/>
                <w:noProof/>
                <w:sz w:val="32"/>
                <w:lang w:eastAsia="ru-RU"/>
              </w:rPr>
            </w:pPr>
          </w:p>
        </w:tc>
        <w:tc>
          <w:tcPr>
            <w:tcW w:w="6096" w:type="dxa"/>
          </w:tcPr>
          <w:p>
            <w:pPr>
              <w:ind w:firstLine="392"/>
              <w:jc w:val="both"/>
              <w:rPr>
                <w:rFonts w:ascii="Times New Roman" w:hAnsi="Times New Roman" w:cs="Times New Roman"/>
                <w:sz w:val="32"/>
                <w:szCs w:val="24"/>
              </w:rPr>
            </w:pPr>
          </w:p>
        </w:tc>
      </w:tr>
      <w:tr>
        <w:tc>
          <w:tcPr>
            <w:tcW w:w="9640" w:type="dxa"/>
          </w:tcPr>
          <w:p>
            <w:pPr>
              <w:rPr>
                <w:rFonts w:ascii="Times New Roman" w:hAnsi="Times New Roman" w:cs="Times New Roman"/>
                <w:noProof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lang w:eastAsia="ru-RU"/>
              </w:rPr>
              <w:lastRenderedPageBreak/>
              <w:drawing>
                <wp:inline distT="0" distB="0" distL="0" distR="0">
                  <wp:extent cx="5803900" cy="3264535"/>
                  <wp:effectExtent l="0" t="0" r="635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3900" cy="3264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96" w:type="dxa"/>
          </w:tcPr>
          <w:p>
            <w:pPr>
              <w:ind w:firstLine="70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В целях улучшения комфортного и безопасного проживания граждан, в 2023 году проводились работы по благоустройству трех дворовых территорий:</w:t>
            </w:r>
          </w:p>
          <w:p>
            <w:pPr>
              <w:ind w:firstLine="70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+mn-ea" w:hAnsi="Times New Roman" w:cs="Times New Roman"/>
                <w:bCs/>
                <w:sz w:val="28"/>
                <w:szCs w:val="28"/>
                <w:lang w:eastAsia="ru-RU"/>
              </w:rPr>
              <w:t xml:space="preserve">- завершены работы по благоустройству 6 квартала на сумму 133,3 млн. руб. Произведено бетонирование дворов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и проведены работы по устройству придомового освещения. </w:t>
            </w:r>
          </w:p>
          <w:p>
            <w:pPr>
              <w:ind w:firstLine="13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>
        <w:tc>
          <w:tcPr>
            <w:tcW w:w="9640" w:type="dxa"/>
          </w:tcPr>
          <w:p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>
                  <wp:extent cx="5803900" cy="3264535"/>
                  <wp:effectExtent l="0" t="0" r="635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3900" cy="3264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96" w:type="dxa"/>
          </w:tcPr>
          <w:p>
            <w:pPr>
              <w:ind w:firstLine="13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начаты работы по благоустройству 10 квартала в границах ул. Строителей 4, 6, 8, 10, 12, 14, на общую сумму 44,9 млн. рублей. На территории квартала подрядной организацией в 2023 году осуществлены такие виды работ, как демонтаж существующего грунтового и железобетонного покрытия, произведена планировка территории с отсыпкой грунтового основания, устройство бетонного покрытия. Часть работ запланирована к реализации в 2024 году.</w:t>
            </w:r>
          </w:p>
          <w:p>
            <w:pPr>
              <w:ind w:firstLine="13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начаты работы по капитальному ремонту дворовых территорий в границах квартала № 8 (ул. Отке, 46, 48, 50, 52, 54, ул. Энергетиков, 4, 6, 8, 10) на общую сумму 199,1 млн. рублей. В 2023 году произведен демонтаж дорожного покрытия. Основные виды работ запланированы на 2024 год.</w:t>
            </w:r>
          </w:p>
        </w:tc>
      </w:tr>
      <w:tr>
        <w:tc>
          <w:tcPr>
            <w:tcW w:w="9640" w:type="dxa"/>
          </w:tcPr>
          <w:p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5803900" cy="3264535"/>
                  <wp:effectExtent l="0" t="0" r="635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3900" cy="3264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96" w:type="dxa"/>
          </w:tcPr>
          <w:p>
            <w:pPr>
              <w:ind w:firstLine="13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рамках двухгодичного контракта 2022-2023 годов выполнялись работы по обслуживанию улично-дорожной сети и дворовых территорий городского округа Анадырь.</w:t>
            </w:r>
          </w:p>
          <w:p>
            <w:pPr>
              <w:ind w:firstLine="13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Для обеспечения бесперебойного движения транспорта (в первую очередь пассажирского и спецтранспорта) и пешеходов независимо от погодных условий в течение года производится:</w:t>
            </w:r>
          </w:p>
          <w:p>
            <w:pPr>
              <w:ind w:firstLine="13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очистка проезжей части от мусора, грязи и посторонних предметов, мойка покрытий. </w:t>
            </w:r>
          </w:p>
          <w:p>
            <w:pPr>
              <w:ind w:firstLine="13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механизированная снегоочистка, расчистка дворовых проездов, подъездов и дворовой территории от снежных заносов, борьба с зимней скользкостью, уборка снежных валов с обочин;</w:t>
            </w:r>
          </w:p>
          <w:p>
            <w:pPr>
              <w:ind w:firstLine="13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погрузка и вывоз снега, распределение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противогололедных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материалов, регулярная очистка от снега и льда тротуаров, пешеходных дорожек и других объектов;</w:t>
            </w:r>
          </w:p>
          <w:p>
            <w:pPr>
              <w:ind w:firstLine="13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установка недостающих дорожных знаков.</w:t>
            </w:r>
          </w:p>
          <w:p>
            <w:pPr>
              <w:ind w:firstLine="13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Также в соответствии с муниципальными контрактами ежегодно выполняются работы по обслуживанию и ремонту сетей уличного освещения и иного электрооборудования городского округа Анадырь:</w:t>
            </w:r>
          </w:p>
          <w:p>
            <w:pPr>
              <w:ind w:firstLine="13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текущий ремонт сетей уличного освещения;</w:t>
            </w:r>
          </w:p>
          <w:p>
            <w:pPr>
              <w:ind w:firstLine="13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окраска опор и кронштейнов парковых светильников, выравнивание геометрии опор;</w:t>
            </w:r>
          </w:p>
          <w:p>
            <w:pPr>
              <w:ind w:firstLine="13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демонтаж светильников при повреждении дорожных опор;</w:t>
            </w:r>
          </w:p>
          <w:p>
            <w:pPr>
              <w:ind w:firstLine="13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ремонт дорожных и парковочных светильников;</w:t>
            </w:r>
          </w:p>
          <w:p>
            <w:pPr>
              <w:ind w:firstLine="13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обслуживание светофорного оборудования;</w:t>
            </w:r>
          </w:p>
          <w:p>
            <w:pPr>
              <w:ind w:firstLine="13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снятие показаний счетчиков по учету электроэнергии объектов Администрации городского округа Анадырь.</w:t>
            </w:r>
          </w:p>
          <w:p>
            <w:pPr>
              <w:ind w:firstLine="13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Все эти мероприятия реализуются в рамках муниципальной программы «Развитие территории городского округа Анадырь на 2019-2024 годы».</w:t>
            </w:r>
          </w:p>
        </w:tc>
      </w:tr>
      <w:tr>
        <w:tc>
          <w:tcPr>
            <w:tcW w:w="9640" w:type="dxa"/>
          </w:tcPr>
          <w:p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lang w:eastAsia="ru-RU"/>
              </w:rPr>
              <w:lastRenderedPageBreak/>
              <w:drawing>
                <wp:inline distT="0" distB="0" distL="0" distR="0">
                  <wp:extent cx="5803900" cy="3264535"/>
                  <wp:effectExtent l="0" t="0" r="635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3900" cy="3264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96" w:type="dxa"/>
          </w:tcPr>
          <w:p>
            <w:pPr>
              <w:ind w:firstLine="13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Но одним из главных вопросов для населения остается обеспечение жильем.</w:t>
            </w:r>
          </w:p>
          <w:p>
            <w:pPr>
              <w:ind w:firstLine="13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Администрацией реализуется муниципальная программа «Жилье в городском округе Анадырь», которая состоит из следующих основных мероприятий:</w:t>
            </w:r>
          </w:p>
          <w:p>
            <w:pPr>
              <w:ind w:firstLine="13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  <w:t xml:space="preserve">содействие молодым семьям в обеспечении жильем; </w:t>
            </w:r>
          </w:p>
          <w:p>
            <w:pPr>
              <w:ind w:firstLine="13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  <w:t xml:space="preserve">приобретение жилья детям-сиротам и детям, оставшихся без попечения родителей; </w:t>
            </w:r>
          </w:p>
          <w:p>
            <w:pPr>
              <w:ind w:firstLine="13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  <w:t>содействие развитию индивидуального жилищного строительства – компенсация застройщикам-физлицам части фактических затрат на эти цели;</w:t>
            </w:r>
          </w:p>
          <w:p>
            <w:pPr>
              <w:ind w:firstLine="13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  <w:t>выкуп жилых помещений для переселения граждан из аварийного жилья.</w:t>
            </w:r>
          </w:p>
          <w:p>
            <w:pPr>
              <w:ind w:firstLine="13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Всего финансирование мероприятий программы в 2023 году составило </w:t>
            </w:r>
            <w:r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150 037 тыс. рублей.</w:t>
            </w:r>
          </w:p>
        </w:tc>
      </w:tr>
      <w:tr>
        <w:tc>
          <w:tcPr>
            <w:tcW w:w="9640" w:type="dxa"/>
          </w:tcPr>
          <w:p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6096635" cy="3429635"/>
                  <wp:effectExtent l="0" t="0" r="0" b="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635" cy="342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96" w:type="dxa"/>
          </w:tcPr>
          <w:p>
            <w:pPr>
              <w:ind w:firstLine="24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соответствии с Жилищным кодексом и региональным законодательством в городском округе Анадырь ежегодно по состоянию на 1 января утверждается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список граждан, признанных нуждающимися в улучшении жилищных условий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>
            <w:pPr>
              <w:ind w:firstLine="24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 состоянию на 1 января 2023 года в данном списке состояло 65 семей. </w:t>
            </w:r>
          </w:p>
          <w:p>
            <w:pPr>
              <w:ind w:firstLine="24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 2023 год по очереди было предоставлено жилье 2-м семьям.</w:t>
            </w:r>
          </w:p>
          <w:p>
            <w:pPr>
              <w:ind w:firstLine="24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рамках мероприятия «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Содействие молодым семьям в обеспечении жильем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»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муниципальной программы «Жилье в городском округе Анадырь»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 2023 году 6-и молодым семьям были вручены сертификаты на получение социальной выплаты на приобретение жилого помещения, на общую сумму 11,03 млн. рублей.</w:t>
            </w:r>
          </w:p>
          <w:p>
            <w:pPr>
              <w:ind w:firstLine="249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iCs/>
                <w:sz w:val="28"/>
                <w:szCs w:val="28"/>
              </w:rPr>
              <w:t xml:space="preserve">Для приобретения </w:t>
            </w:r>
            <w:r>
              <w:rPr>
                <w:rFonts w:ascii="Times New Roman" w:hAnsi="Times New Roman"/>
                <w:b/>
                <w:iCs/>
                <w:sz w:val="28"/>
                <w:szCs w:val="28"/>
              </w:rPr>
              <w:t>жилья детям-сиротам</w:t>
            </w:r>
            <w:r>
              <w:rPr>
                <w:rFonts w:ascii="Times New Roman" w:hAnsi="Times New Roman"/>
                <w:iCs/>
                <w:sz w:val="28"/>
                <w:szCs w:val="28"/>
              </w:rPr>
              <w:t xml:space="preserve"> и детям, оставшихся без попечения родителей, </w:t>
            </w:r>
            <w:r>
              <w:rPr>
                <w:rFonts w:ascii="Times New Roman" w:hAnsi="Times New Roman"/>
                <w:sz w:val="28"/>
                <w:szCs w:val="28"/>
              </w:rPr>
              <w:t>было приобретено 4 однокомнатных квартир на вторичном рынке жилья</w:t>
            </w:r>
            <w:r>
              <w:rPr>
                <w:rFonts w:ascii="Times New Roman" w:hAnsi="Times New Roman"/>
                <w:iCs/>
                <w:sz w:val="28"/>
                <w:szCs w:val="28"/>
              </w:rPr>
              <w:t xml:space="preserve"> освоено 100% </w:t>
            </w:r>
            <w:r>
              <w:rPr>
                <w:rFonts w:ascii="Times New Roman" w:hAnsi="Times New Roman"/>
                <w:sz w:val="28"/>
                <w:szCs w:val="28"/>
              </w:rPr>
              <w:t>предусмотренных на эти цели средств в сумме 7, 30 млн. руб.</w:t>
            </w:r>
          </w:p>
          <w:p>
            <w:pPr>
              <w:ind w:firstLine="24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Аварийное жилье.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столице округа аварийными признаны 8 жилых домов, в которых переселению подлежало 63 семьи из 2,7 тыс. кв. м аварийного жилья. </w:t>
            </w:r>
          </w:p>
          <w:p>
            <w:pPr>
              <w:ind w:firstLine="24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целях расселения граждан из аварийного жилищного фонда в 2023 году для 3-х семей были приобретены благоустроенные квартиры.</w:t>
            </w:r>
            <w: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Сумма мероприятий составила 25,033 млн. рублей. </w:t>
            </w:r>
          </w:p>
          <w:p>
            <w:pPr>
              <w:ind w:firstLine="24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Имеется дополнительная финансовая потребность в объеме 100 млн. рублей для осуществления расселения аварийного дома по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Отке, 12 в 2024 году. Работаем с Правительством региона по вопросу выделения данных средств.</w:t>
            </w:r>
          </w:p>
          <w:p>
            <w:pPr>
              <w:ind w:firstLine="249"/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Дома  №</w:t>
            </w:r>
            <w:proofErr w:type="gramEnd"/>
            <w:r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 xml:space="preserve"> 28, 30 по ул. Ленина снесены и на освободившихся земельных участках будет произведено строительство новых жилых домов. </w:t>
            </w:r>
          </w:p>
          <w:p>
            <w:pPr>
              <w:ind w:firstLine="24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рамках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содействия развитию ИЖС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2023 году 8 семей получили компенсацию </w:t>
            </w:r>
            <w:r>
              <w:rPr>
                <w:rFonts w:ascii="Times New Roman" w:hAnsi="Times New Roman"/>
                <w:iCs/>
                <w:sz w:val="28"/>
                <w:szCs w:val="28"/>
              </w:rPr>
              <w:t xml:space="preserve">части фактических затрат на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строительство жилого дома. Общая сумма возмещения составила 43,9 млн. рублей. </w:t>
            </w:r>
          </w:p>
        </w:tc>
      </w:tr>
      <w:tr>
        <w:tc>
          <w:tcPr>
            <w:tcW w:w="9640" w:type="dxa"/>
          </w:tcPr>
          <w:p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5984240" cy="3365500"/>
                  <wp:effectExtent l="0" t="0" r="0" b="635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4240" cy="3365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96" w:type="dxa"/>
          </w:tcPr>
          <w:p>
            <w:pPr>
              <w:suppressAutoHyphens/>
              <w:spacing w:line="100" w:lineRule="atLeast"/>
              <w:ind w:firstLine="708"/>
              <w:jc w:val="both"/>
              <w:rPr>
                <w:rFonts w:ascii="Times New Roman" w:eastAsia="Times New Roman" w:hAnsi="Times New Roman" w:cs="Times New Roman"/>
                <w:color w:val="FF0000"/>
                <w:kern w:val="1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FF0000"/>
                <w:kern w:val="1"/>
                <w:sz w:val="28"/>
                <w:szCs w:val="28"/>
                <w:lang w:eastAsia="ar-SA"/>
              </w:rPr>
              <w:t xml:space="preserve">В городском округе расположено 167 многоквартирных домов в которых имеется 341 подъезд. Большинство подъездов многоквартирных домов требуют ремонта в связи с длительной эксплуатацией. Несмотря на то, что межремонтный период составляет 5 лет, во многих подъездах ремонт не проводился более 8-10 лет. </w:t>
            </w:r>
          </w:p>
          <w:p>
            <w:pPr>
              <w:suppressAutoHyphens/>
              <w:spacing w:line="100" w:lineRule="atLeast"/>
              <w:ind w:firstLine="708"/>
              <w:jc w:val="both"/>
              <w:rPr>
                <w:rFonts w:ascii="Times New Roman" w:eastAsia="Times New Roman" w:hAnsi="Times New Roman" w:cs="Times New Roman"/>
                <w:color w:val="FF0000"/>
                <w:kern w:val="1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FF0000"/>
                <w:kern w:val="1"/>
                <w:sz w:val="28"/>
                <w:szCs w:val="28"/>
                <w:lang w:eastAsia="ar-SA"/>
              </w:rPr>
              <w:t xml:space="preserve">Сейчас ситуация меняется в лучшую сторону – за последние 4 года в городском округе Анадырь отремонтировано 255 подъездов, то есть более 74% от всего количества. Только в </w:t>
            </w:r>
            <w:r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  <w:t xml:space="preserve">2023 году за счет субсидии из бюджета городского округа Анадырь отремонтировано 88 подъездов многоквартирных домов на сумму 47,5 млн руб., своими силами управляющие компании произвели ремонт 8 подъездов на общую сумму 6,7 млн рублей. </w:t>
            </w:r>
          </w:p>
          <w:p>
            <w:pPr>
              <w:ind w:firstLine="24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>
        <w:trPr>
          <w:trHeight w:val="6080"/>
        </w:trPr>
        <w:tc>
          <w:tcPr>
            <w:tcW w:w="9640" w:type="dxa"/>
          </w:tcPr>
          <w:p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3246120" cy="1805940"/>
                  <wp:effectExtent l="0" t="0" r="0" b="3810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6120" cy="1805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r>
              <w:rPr>
                <w:noProof/>
                <w:lang w:eastAsia="ru-RU"/>
              </w:rPr>
              <w:drawing>
                <wp:inline distT="0" distB="0" distL="0" distR="0">
                  <wp:extent cx="6096635" cy="3429635"/>
                  <wp:effectExtent l="0" t="0" r="0" b="0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635" cy="342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96" w:type="dxa"/>
          </w:tcPr>
          <w:p>
            <w:pPr>
              <w:ind w:firstLine="24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Также продолжаем работу по ремонту фасадов многоквартирных домов.</w:t>
            </w:r>
          </w:p>
          <w:p>
            <w:pPr>
              <w:ind w:firstLine="13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2023 году за счет за счет средств Фонда капитального ремонта был отремонтирован фасад одного жилого дома № 10 по ул. Ленина на сумму 15,7 млн. рублей.</w:t>
            </w:r>
          </w:p>
        </w:tc>
      </w:tr>
      <w:tr>
        <w:tc>
          <w:tcPr>
            <w:tcW w:w="9640" w:type="dxa"/>
          </w:tcPr>
          <w:p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5984240" cy="3365500"/>
                  <wp:effectExtent l="0" t="0" r="0" b="635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4240" cy="3365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96" w:type="dxa"/>
          </w:tcPr>
          <w:p>
            <w:pPr>
              <w:ind w:firstLine="28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Особое внимание уделяется вопросам социальной политики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– образованию, спорту, культуре, патриотическому воспитанию.</w:t>
            </w:r>
          </w:p>
          <w:p>
            <w:pPr>
              <w:ind w:firstLine="28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На подготовку образовательных организаций к новому 2023-2024 учебному году, включающую в себя проведение ремонтных работ, из бюджета всех уровней направлено более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34 млн. рублей.</w:t>
            </w:r>
            <w:r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Сюда вошли такие виды работ, как ремонты фасадов и кровель, оборудование пищеблоков, ремонтные работы по горячему водоснабжению и наружной канализации, косметические ремонты помещений, замена светильников и радиаторов, приборов учета тепловой энергии, замена окон.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>
        <w:tc>
          <w:tcPr>
            <w:tcW w:w="9640" w:type="dxa"/>
          </w:tcPr>
          <w:p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84240" cy="3365500"/>
                  <wp:effectExtent l="0" t="0" r="0" b="6350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4240" cy="3365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96" w:type="dxa"/>
          </w:tcPr>
          <w:p>
            <w:pPr>
              <w:ind w:firstLine="28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Проведены работы по обеспечению противопожарной и антитеррористической безопасности на общую сумму около 8 млн. рублей.</w:t>
            </w:r>
          </w:p>
        </w:tc>
      </w:tr>
      <w:tr>
        <w:tc>
          <w:tcPr>
            <w:tcW w:w="9640" w:type="dxa"/>
          </w:tcPr>
          <w:p>
            <w:pPr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highlight w:val="yellow"/>
                <w:lang w:eastAsia="ru-RU"/>
              </w:rPr>
              <w:lastRenderedPageBreak/>
              <w:drawing>
                <wp:inline distT="0" distB="0" distL="0" distR="0">
                  <wp:extent cx="6096635" cy="3429635"/>
                  <wp:effectExtent l="0" t="0" r="0" b="0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635" cy="342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96" w:type="dxa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образовательные организации по необходимости закуплены новая мебель, дидактические материалы и учебные пособия, посуда, оборудование в пищеблоки, игрушки и канцелярские принадлежности, спортивные снаряды, музыкальные инструменты и прочие товарно-материальные ценности на общую сумму более 9 млн. рублей.</w:t>
            </w:r>
          </w:p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 всех садах и школах оборудованы и оснащены медицинские кабинеты в соответствии с действующими требованиями, на общую сумму более 2,5 млн. рублей.</w:t>
            </w:r>
          </w:p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новом учебном году, как и в предыдущие годы, все школьники окружной столицы обеспечены одноразовым питанием, а дети льготных категорий – двухразовым.</w:t>
            </w:r>
          </w:p>
        </w:tc>
      </w:tr>
      <w:tr>
        <w:tc>
          <w:tcPr>
            <w:tcW w:w="9640" w:type="dxa"/>
          </w:tcPr>
          <w:p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84240" cy="3365500"/>
                  <wp:effectExtent l="0" t="0" r="0" b="6350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4240" cy="3365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96" w:type="dxa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2023 году в Анадыре состоялось открытие школьного спортивного клуба «Полярная звезда».</w:t>
            </w:r>
          </w:p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Спортклуб начал функционировать на базе Основной общеобразовательной школы №1 города Анадыря.</w:t>
            </w:r>
          </w:p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новом клубе занимаются порядка 80 учеников 4-8 классов школы. Занятия организованы ежедневно во внеурочное время.  Для работы клуба «Полярная звезда» в 2023 году была серьезно улучшена материально-техническая база спортивной инфраструктуры школы. Ее оснастили современным оборудованием для занятий школьников в секциях по мини-футболу, волейболу, баскетболу, настольному теннису и общей физической культурой. Стоимость спортивного оборудования и инвентаря составила более 3 млн. рублей.</w:t>
            </w:r>
          </w:p>
          <w:p>
            <w:pPr>
              <w:jc w:val="both"/>
              <w:rPr>
                <w:color w:val="FF0000"/>
                <w:szCs w:val="24"/>
              </w:rPr>
            </w:pPr>
          </w:p>
        </w:tc>
      </w:tr>
      <w:tr>
        <w:tc>
          <w:tcPr>
            <w:tcW w:w="9640" w:type="dxa"/>
          </w:tcPr>
          <w:p>
            <w:pPr>
              <w:tabs>
                <w:tab w:val="left" w:pos="142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5984240" cy="3365500"/>
                  <wp:effectExtent l="0" t="0" r="0" b="6350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4240" cy="3365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96" w:type="dxa"/>
          </w:tcPr>
          <w:p>
            <w:pPr>
              <w:ind w:firstLine="28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>
        <w:tc>
          <w:tcPr>
            <w:tcW w:w="9640" w:type="dxa"/>
          </w:tcPr>
          <w:p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096635" cy="3429635"/>
                  <wp:effectExtent l="0" t="0" r="0" b="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635" cy="342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96" w:type="dxa"/>
          </w:tcPr>
          <w:p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lang w:eastAsia="ru-RU"/>
              </w:rPr>
              <w:t xml:space="preserve">В рамках патриотического воспитания 26 апреля 2023 г. в школе на ул. Мира открыли «Парты Героев», посвященные выпускникам школы – участникам специальной военной операции Ивану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lang w:eastAsia="ru-RU"/>
              </w:rPr>
              <w:t>Шепеленко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lang w:eastAsia="ru-RU"/>
              </w:rPr>
              <w:t xml:space="preserve"> и Максиму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lang w:eastAsia="ru-RU"/>
              </w:rPr>
              <w:t>Енан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lang w:eastAsia="ru-RU"/>
              </w:rPr>
              <w:t xml:space="preserve">. Парты установлены в школьной библиотеке., </w:t>
            </w:r>
            <w:proofErr w:type="gramStart"/>
            <w:r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lang w:eastAsia="ru-RU"/>
              </w:rPr>
              <w:t>где  проходят</w:t>
            </w:r>
            <w:proofErr w:type="gramEnd"/>
            <w:r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lang w:eastAsia="ru-RU"/>
              </w:rPr>
              <w:t xml:space="preserve"> уроки мужества и героизма, с целью в доступной форме рассказать школьникам о земляках – таких же юных мальчишках, как они, проявивших доблесть, личное мужество и готовность к самопожертвованию, ради защиты своей страны.</w:t>
            </w:r>
          </w:p>
          <w:p>
            <w:pPr>
              <w:ind w:firstLine="281"/>
              <w:jc w:val="both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</w:pPr>
          </w:p>
        </w:tc>
      </w:tr>
      <w:tr>
        <w:tc>
          <w:tcPr>
            <w:tcW w:w="9640" w:type="dxa"/>
          </w:tcPr>
          <w:p>
            <w:pPr>
              <w:tabs>
                <w:tab w:val="left" w:pos="142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5984240" cy="3365500"/>
                  <wp:effectExtent l="0" t="0" r="0" b="6350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4240" cy="3365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96" w:type="dxa"/>
          </w:tcPr>
          <w:p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Отдельно хотелось бы отметить, результаты 2023 года государственной итоговой аттестации школьников, которые не могут не радовать.</w:t>
            </w:r>
          </w:p>
          <w:p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Всего в окружной столице государственную итоговую аттестацию в 2023 году сдавали 173 учащихся 9-х и 95 выпускников 11-х классов школы на ул. Мира.</w:t>
            </w:r>
          </w:p>
          <w:p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        9-классникам для получения аттестата об основном общем образовании достаточно было сдать 4 экзамена – 2 основных – русский язык и математика и 2 по выбору. </w:t>
            </w:r>
          </w:p>
          <w:p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          По итогам сдачи ОГЭ из 173 девятиклассников с испытаниями справились 170, 20 школьников получили аттестат с отличием.</w:t>
            </w:r>
          </w:p>
          <w:p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         Из 95 выпускников 11-ых классов, аттестаты о среднем общем образовании получили 93 человека, 11-ти из них были вручены аттестаты с отличием и медали «За отличные успехи в учении». 2 выпускника по итогам ГИА получили справки об обучении, не преодолев минимальный порог по математике.</w:t>
            </w:r>
          </w:p>
          <w:p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         По итогам сдачи ЕГЭ средний балл учащихся МБОУ «СОШ № 1 г. Анадыря» значительно превысил данный показатель, как по Чукотке, так и по России в целом. Так средний балл по профильной математике в школе на ул. Мира – </w:t>
            </w:r>
            <w:r>
              <w:rPr>
                <w:rFonts w:ascii="Times New Roman" w:hAnsi="Times New Roman" w:cs="Times New Roman"/>
                <w:b/>
                <w:sz w:val="26"/>
                <w:szCs w:val="26"/>
              </w:rPr>
              <w:t>67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, по Чукотке – 45,05, по России – 55,6, по английскому языку – </w:t>
            </w:r>
            <w:r>
              <w:rPr>
                <w:rFonts w:ascii="Times New Roman" w:hAnsi="Times New Roman" w:cs="Times New Roman"/>
                <w:b/>
                <w:sz w:val="26"/>
                <w:szCs w:val="26"/>
              </w:rPr>
              <w:t>73,5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/ 56,86 / 66,3, по биологии – </w:t>
            </w:r>
            <w:r>
              <w:rPr>
                <w:rFonts w:ascii="Times New Roman" w:hAnsi="Times New Roman" w:cs="Times New Roman"/>
                <w:b/>
                <w:sz w:val="26"/>
                <w:szCs w:val="26"/>
              </w:rPr>
              <w:t>59,85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/ 43,54 / 50,9, по химии – </w:t>
            </w:r>
            <w:r>
              <w:rPr>
                <w:rFonts w:ascii="Times New Roman" w:hAnsi="Times New Roman" w:cs="Times New Roman"/>
                <w:b/>
                <w:sz w:val="26"/>
                <w:szCs w:val="26"/>
              </w:rPr>
              <w:t>80,69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/ 44,78 / 56,2. </w:t>
            </w:r>
          </w:p>
          <w:p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           В целом увеличилось количество ребят, которые успешно справились с экзаменационными испытаниями, за что особая благодарность учителям школы. За высокие результаты государственной итоговой аттестации 12 июля 2023 года Губернатор Чукотки Владислав Кузнецов вручил коллективу школы Благодарственное письмо. </w:t>
            </w:r>
          </w:p>
          <w:p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       Стоит также отметить, что школа на ул. Мира занимает 1-ое место в рейтинге школ Чукотки по количеству учеников, поступивших в ведущие ВУЗы России.</w:t>
            </w:r>
          </w:p>
          <w:p>
            <w:pPr>
              <w:ind w:firstLine="28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>
        <w:tc>
          <w:tcPr>
            <w:tcW w:w="9640" w:type="dxa"/>
          </w:tcPr>
          <w:p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5984240" cy="3365500"/>
                  <wp:effectExtent l="0" t="0" r="0" b="6350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4240" cy="3365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96" w:type="dxa"/>
          </w:tcPr>
          <w:p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          В 2023 году школьники из Анадыря в очередной раз блестяще проявили себя в телевизионной гуманитарной олимпиаде "Умники и умницы" на Федеральном "Первом канале".</w:t>
            </w:r>
          </w:p>
          <w:p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          Учащиеся 11 классов МБОУ «Средняя общеобразовательная школа № 1 г. Анадырь» 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6"/>
              </w:rPr>
              <w:t>Гизат</w:t>
            </w:r>
            <w:proofErr w:type="spell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6"/>
              </w:rPr>
              <w:t>Айтпаев</w:t>
            </w:r>
            <w:proofErr w:type="spell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, Лидия Набиева и 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6"/>
              </w:rPr>
              <w:t>Дарина</w:t>
            </w:r>
            <w:proofErr w:type="spell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Басангова достойно представили наш регион в четвертьфинальных играх "Умников и умниц". Продемонстрировали крепкие знания, эрудицию, находчивость и целеустремленность.</w:t>
            </w:r>
          </w:p>
          <w:p>
            <w:pPr>
              <w:ind w:firstLine="281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         По результатам непростых 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6"/>
              </w:rPr>
              <w:t>агонов</w:t>
            </w:r>
            <w:proofErr w:type="spell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и в условиях сильнейшей конкуренции, в полуфинал телевизионной гуманитарной олимпиады "Умники и умницы" прошла</w:t>
            </w:r>
            <w: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6"/>
              </w:rPr>
              <w:t>Дарина</w:t>
            </w:r>
            <w:proofErr w:type="spell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Басангова.</w:t>
            </w:r>
          </w:p>
        </w:tc>
      </w:tr>
      <w:tr>
        <w:tc>
          <w:tcPr>
            <w:tcW w:w="9640" w:type="dxa"/>
          </w:tcPr>
          <w:p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5984240" cy="3365500"/>
                  <wp:effectExtent l="0" t="0" r="0" b="635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4240" cy="3365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96" w:type="dxa"/>
          </w:tcPr>
          <w:p>
            <w:pPr>
              <w:ind w:firstLine="28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Впервые праздник «Хлебосольный горожанин» прошел в 2016 году и получил высокую оценку среди горожан и гостей столицы. В 2023 году «Хлебосольный горожанин» прошел в шестой раз.26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августа  2023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года представители 6 этносов - чукчи, эскимосы, русские, калмыки, армяне и узбеки, проживающие на территории окружной столицы, угостили всех желающих блюдами национальной кухни, а также представили культуру и национальные традиции.</w:t>
            </w:r>
          </w:p>
          <w:p>
            <w:pPr>
              <w:ind w:firstLine="28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жители Анадыря проголосовали за наиболее понравившуюся национальную кухню. Участники, занявшие 1, 2 и 3 места награждены денежными призами.</w:t>
            </w:r>
          </w:p>
          <w:p>
            <w:pPr>
              <w:ind w:firstLine="28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Помимо угощений, состоялся праздничный концерт. Для гостей выступили Театр народной песни «Каравай», ансамбли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Атасикун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и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Берингия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>
            <w:pPr>
              <w:ind w:firstLine="28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Мероприятие проводится в рамках подпрограммы «Развитие культуры и укрепление единого культурного информационного пространства в городском округе Анадырь» муниципальной программы «Развитие социально-культурной сферы в городском округе Анадырь на 2020-2025 годы». </w:t>
            </w:r>
          </w:p>
        </w:tc>
      </w:tr>
      <w:tr>
        <w:tc>
          <w:tcPr>
            <w:tcW w:w="9640" w:type="dxa"/>
          </w:tcPr>
          <w:p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84240" cy="3365500"/>
                  <wp:effectExtent l="0" t="0" r="0" b="6350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4240" cy="3365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96" w:type="dxa"/>
          </w:tcPr>
          <w:p>
            <w:pPr>
              <w:suppressAutoHyphens/>
              <w:ind w:firstLine="28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рамках подпрограммы «Активное долголетие» муниципальной программы «Развитие социально-культурной сферы в городском округе Анадырь на 2020-2025 годы» для представителей старшего поколения были организованы поездки в тундру за грибами.</w:t>
            </w:r>
          </w:p>
          <w:p>
            <w:pPr>
              <w:suppressAutoHyphens/>
              <w:ind w:firstLine="28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Лето – сезон сбора ягод и грибов. Ежегодно Администрация города организовывает выезды на природу с целью сбора дикоросов для пенсионеров окружной столицы. Этот год не стал исключением.</w:t>
            </w:r>
          </w:p>
          <w:p>
            <w:pPr>
              <w:suppressAutoHyphens/>
              <w:ind w:firstLine="28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2023 году пенсионеры Анадыря вели «тихую охоту» в районе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Хиузной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>
            <w:pPr>
              <w:suppressAutoHyphens/>
              <w:ind w:firstLine="28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Выезды на природу мэрия организует для городских пенсионеров c 2020 года. в рамках подпрограммы «Активное долголетие».</w:t>
            </w:r>
          </w:p>
          <w:p>
            <w:pPr>
              <w:suppressAutoHyphens/>
              <w:ind w:firstLine="28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Основной целью такого «социального туризма» является укрепление здоровья, увеличение социальной активности и продолжительности жизни людей старшего поколения.</w:t>
            </w:r>
          </w:p>
        </w:tc>
      </w:tr>
      <w:tr>
        <w:tc>
          <w:tcPr>
            <w:tcW w:w="9640" w:type="dxa"/>
          </w:tcPr>
          <w:p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5402580" cy="3038952"/>
                  <wp:effectExtent l="0" t="0" r="7620" b="9525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1828" cy="3044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96" w:type="dxa"/>
          </w:tcPr>
          <w:p>
            <w:pPr>
              <w:ind w:firstLine="24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Спасибо за внимание. </w:t>
            </w:r>
          </w:p>
          <w:p>
            <w:pPr>
              <w:ind w:firstLine="24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/>
    <w:sectPr>
      <w:pgSz w:w="16838" w:h="11906" w:orient="landscape"/>
      <w:pgMar w:top="426" w:right="851" w:bottom="142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+mn-ea"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BBD22E7"/>
    <w:multiLevelType w:val="hybridMultilevel"/>
    <w:tmpl w:val="481CED74"/>
    <w:lvl w:ilvl="0" w:tplc="1BBC6C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5B8AFD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8E8BB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530A5C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BD6F9C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7082D8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AFCE3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2BE24E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0C4E97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 w15:restartNumberingAfterBreak="0">
    <w:nsid w:val="3DDA139D"/>
    <w:multiLevelType w:val="hybridMultilevel"/>
    <w:tmpl w:val="EF5C5AE6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" w15:restartNumberingAfterBreak="0">
    <w:nsid w:val="5D234FF7"/>
    <w:multiLevelType w:val="hybridMultilevel"/>
    <w:tmpl w:val="A65ED3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9621C3A"/>
    <w:multiLevelType w:val="hybridMultilevel"/>
    <w:tmpl w:val="2640BD20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739D1A27"/>
    <w:multiLevelType w:val="hybridMultilevel"/>
    <w:tmpl w:val="7304F0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activeWritingStyle w:appName="MSWord" w:lang="ru-RU" w:vendorID="64" w:dllVersion="131078" w:nlCheck="1" w:checkStyle="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98E98F2-0C68-4F5C-A236-82BE97E219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 Spacing"/>
    <w:basedOn w:val="a"/>
    <w:link w:val="a6"/>
    <w:uiPriority w:val="1"/>
    <w:qFormat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6">
    <w:name w:val="Без интервала Знак"/>
    <w:link w:val="a5"/>
    <w:uiPriority w:val="1"/>
    <w:qFormat/>
    <w:locked/>
    <w:rPr>
      <w:rFonts w:ascii="Times New Roman" w:eastAsia="Times New Roman" w:hAnsi="Times New Roman" w:cs="Times New Roman"/>
      <w:sz w:val="24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691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61609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EE344E2-64A1-4643-8011-11940A71BF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24</Pages>
  <Words>3539</Words>
  <Characters>20178</Characters>
  <Application>Microsoft Office Word</Application>
  <DocSecurity>0</DocSecurity>
  <Lines>168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23670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 Коновалова</dc:creator>
  <cp:keywords/>
  <dc:description/>
  <cp:lastModifiedBy>Ирина Листопадова</cp:lastModifiedBy>
  <cp:revision>2</cp:revision>
  <dcterms:created xsi:type="dcterms:W3CDTF">2024-04-07T23:25:00Z</dcterms:created>
  <dcterms:modified xsi:type="dcterms:W3CDTF">2024-04-07T23:25:00Z</dcterms:modified>
</cp:coreProperties>
</file>